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4ABAE">
      <w:pPr>
        <w:jc w:val="left"/>
        <w:rPr>
          <w:rFonts w:ascii="黑体" w:hAnsi="黑体" w:eastAsia="黑体" w:cs="仿宋_GB2312"/>
          <w:bCs/>
          <w:sz w:val="32"/>
          <w:szCs w:val="32"/>
        </w:rPr>
      </w:pPr>
      <w:bookmarkStart w:id="0" w:name="_GoBack"/>
      <w:bookmarkEnd w:id="0"/>
      <w:r>
        <w:rPr>
          <w:rFonts w:hint="eastAsia" w:ascii="黑体" w:hAnsi="黑体" w:eastAsia="黑体" w:cs="仿宋_GB2312"/>
          <w:bCs/>
          <w:sz w:val="32"/>
          <w:szCs w:val="32"/>
        </w:rPr>
        <w:t>附件</w:t>
      </w:r>
    </w:p>
    <w:p w14:paraId="54DB21C7">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中国国际</w:t>
      </w:r>
      <w:r>
        <w:rPr>
          <w:rFonts w:ascii="方正小标宋简体" w:hAnsi="黑体" w:eastAsia="方正小标宋简体" w:cs="仿宋_GB2312"/>
          <w:bCs/>
          <w:sz w:val="36"/>
          <w:szCs w:val="36"/>
        </w:rPr>
        <w:t>大学生创新大赛</w:t>
      </w:r>
      <w:r>
        <w:rPr>
          <w:rFonts w:hint="eastAsia" w:ascii="方正小标宋简体" w:hAnsi="黑体" w:eastAsia="方正小标宋简体" w:cs="仿宋_GB2312"/>
          <w:bCs/>
          <w:sz w:val="36"/>
          <w:szCs w:val="36"/>
        </w:rPr>
        <w:t>（2024）评审规则</w:t>
      </w:r>
    </w:p>
    <w:p w14:paraId="75ABBAF6">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14E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484" w:type="pct"/>
            <w:vAlign w:val="center"/>
          </w:tcPr>
          <w:p w14:paraId="5830703E">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14:paraId="554EE48C">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4EA2A986">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5317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14:paraId="43AAB537">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14:paraId="06F6D155">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45C94EE5">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56E476B0">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14:paraId="15AA336E">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3D83AF3E">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7FE6C4C5">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14:paraId="624F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1F9386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14:paraId="60F56C9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14:paraId="42536D9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14:paraId="159F1A9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13CAB35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4B50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0F38FBE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14:paraId="1823BB1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14:paraId="2DCDE8E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14:paraId="4F6BD30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14:paraId="768CBFB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10A2A99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4516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14:paraId="77C80B2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14:paraId="506129F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14:paraId="3A92DAB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14:paraId="2EDE7CD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14:paraId="286851C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6D17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593F63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14:paraId="6859ADA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53674A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3CA6414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5123FFC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4308F5B8">
      <w:pPr>
        <w:widowControl/>
      </w:pPr>
    </w:p>
    <w:p w14:paraId="461AFB5A">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0043C138">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4428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25836C5">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14:paraId="4D39EA99">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41E9DF4D">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467D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5BFD36B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1C2A05E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331DB9F">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7AC30EAB">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14:paraId="2816A0E5">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072744E4">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088A8E3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17B7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09CEE1C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1F4CD9D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14:paraId="624DEC0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14:paraId="62651AC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14:paraId="60B96E6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14:paraId="44CD6C1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2822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484" w:type="pct"/>
            <w:vAlign w:val="center"/>
          </w:tcPr>
          <w:p w14:paraId="1FC2BC0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6BCDCC5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14:paraId="512442D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14:paraId="77256FB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14:paraId="0CB43CE0">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14:paraId="7990192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1AA1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14:paraId="55B6422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14:paraId="4C13CBF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14:paraId="2E84DD1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14:paraId="3A224F5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14:paraId="514B695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14:paraId="5516190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14:paraId="4BCB389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14:paraId="4E47269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522A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5DB8BE3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13653ED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2E2853D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5C25062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13698546">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42BDFEDA">
      <w:pPr>
        <w:jc w:val="left"/>
        <w:rPr>
          <w:rFonts w:ascii="黑体" w:hAnsi="黑体" w:eastAsia="黑体" w:cs="仿宋_GB2312"/>
          <w:bCs/>
          <w:sz w:val="28"/>
          <w:szCs w:val="28"/>
        </w:rPr>
      </w:pPr>
    </w:p>
    <w:p w14:paraId="5238266F">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94A327A">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2385"/>
        <w:gridCol w:w="973"/>
      </w:tblGrid>
      <w:tr w14:paraId="57E1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3" w:type="pct"/>
            <w:vAlign w:val="center"/>
          </w:tcPr>
          <w:p w14:paraId="5E7F4F28">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8" w:type="pct"/>
            <w:vAlign w:val="center"/>
          </w:tcPr>
          <w:p w14:paraId="550C8D64">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14:paraId="5D9929B1">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28C4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8A7A1ED">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8" w:type="pct"/>
            <w:vAlign w:val="center"/>
          </w:tcPr>
          <w:p w14:paraId="51FC073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4CADCE94">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教育对大学生基本素养和认知的塑造力和提升大学生综合能力的效力。</w:t>
            </w:r>
          </w:p>
          <w:p w14:paraId="42DAD86F">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60ADFDE7">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0DF2701F">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14:paraId="2387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83" w:type="pct"/>
            <w:vAlign w:val="center"/>
          </w:tcPr>
          <w:p w14:paraId="40E54CF8">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创新维度</w:t>
            </w:r>
          </w:p>
        </w:tc>
        <w:tc>
          <w:tcPr>
            <w:tcW w:w="4188" w:type="pct"/>
            <w:vAlign w:val="center"/>
          </w:tcPr>
          <w:p w14:paraId="43C18A6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14:paraId="72E661A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14:paraId="37C6A57A">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14:paraId="5AC71BED">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2C80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124158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vAlign w:val="center"/>
          </w:tcPr>
          <w:p w14:paraId="6AB882F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14:paraId="43843B0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42DA6A5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14:paraId="405A065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58B17FC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638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3B28AC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8" w:type="pct"/>
            <w:vAlign w:val="center"/>
          </w:tcPr>
          <w:p w14:paraId="2FA06C9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14:paraId="3872A98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14:paraId="21DDB31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3.项目在促进就业、教育、医疗、养老、环境保护与生态建设等方面的效果。</w:t>
            </w:r>
          </w:p>
          <w:p w14:paraId="512C9BE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14:paraId="002FD1B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14:paraId="458D946D">
            <w:pPr>
              <w:jc w:val="center"/>
              <w:rPr>
                <w:rFonts w:ascii="仿宋_GB2312" w:hAnsi="仿宋_GB2312" w:eastAsia="仿宋_GB2312" w:cs="仿宋_GB2312"/>
                <w:bCs/>
                <w:sz w:val="24"/>
                <w:szCs w:val="24"/>
              </w:rPr>
            </w:pPr>
            <w:r>
              <w:rPr>
                <w:rFonts w:ascii="仿宋_GB2312" w:hAnsi="仿宋_GB2312" w:eastAsia="仿宋_GB2312" w:cs="仿宋_GB2312"/>
                <w:sz w:val="24"/>
                <w:szCs w:val="24"/>
              </w:rPr>
              <w:t>20</w:t>
            </w:r>
          </w:p>
        </w:tc>
      </w:tr>
      <w:tr w14:paraId="26FD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36803B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8" w:type="pct"/>
            <w:vAlign w:val="center"/>
          </w:tcPr>
          <w:p w14:paraId="7684F82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14:paraId="0863BA3C">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14:paraId="74EC4418">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14:paraId="6B3FE600">
        <w:tblPrEx>
          <w:tblCellMar>
            <w:top w:w="0" w:type="dxa"/>
            <w:left w:w="108" w:type="dxa"/>
            <w:bottom w:w="0" w:type="dxa"/>
            <w:right w:w="108" w:type="dxa"/>
          </w:tblCellMar>
        </w:tblPrEx>
        <w:trPr>
          <w:trHeight w:val="57" w:hRule="atLeast"/>
        </w:trPr>
        <w:tc>
          <w:tcPr>
            <w:tcW w:w="483" w:type="pct"/>
            <w:vAlign w:val="center"/>
          </w:tcPr>
          <w:p w14:paraId="0116E43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7" w:type="pct"/>
            <w:gridSpan w:val="2"/>
            <w:vAlign w:val="center"/>
          </w:tcPr>
          <w:p w14:paraId="663DC87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49FC2325">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58B8D35C">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5143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59145FD">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14:paraId="7136E561">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620ABEB6">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1111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E2F05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552C035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489EFFD">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0AC8714A">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46AED616">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C57D84B">
            <w:pPr>
              <w:jc w:val="center"/>
              <w:rPr>
                <w:rFonts w:ascii="仿宋_GB2312" w:hAnsi="仿宋_GB2312" w:eastAsia="仿宋_GB2312" w:cs="仿宋_GB2312"/>
                <w:szCs w:val="21"/>
              </w:rPr>
            </w:pPr>
            <w:r>
              <w:rPr>
                <w:rFonts w:ascii="仿宋_GB2312" w:hAnsi="仿宋_GB2312" w:eastAsia="仿宋_GB2312" w:cs="仿宋_GB2312"/>
                <w:szCs w:val="21"/>
              </w:rPr>
              <w:t>30</w:t>
            </w:r>
          </w:p>
        </w:tc>
      </w:tr>
      <w:tr w14:paraId="4CDD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84" w:type="pct"/>
            <w:vAlign w:val="center"/>
          </w:tcPr>
          <w:p w14:paraId="75551A8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2D0A6079">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14:paraId="0223CCE4">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14:paraId="3277EC85">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14:paraId="5CE7304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14:paraId="2C33735A">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14:paraId="6503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6899FCF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7689D78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14:paraId="211E73C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14:paraId="284C0DAE">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14:paraId="08B5A02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3ACCFC9D">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14:paraId="49E3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5F9DE1D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14:paraId="46EDA42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14:paraId="25BF956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2.在服务科技创新、乡村振兴、城市社区治理、城乡融合发展等方面有较好的创意、产品或服务模式，追求经济效益和社会效益的平衡。</w:t>
            </w:r>
          </w:p>
          <w:p w14:paraId="41D4835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3.项目对推动科技创新、乡村振兴、城市社区治理、城乡融合发展等方面的贡献度。</w:t>
            </w:r>
          </w:p>
          <w:p w14:paraId="10BE728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14:paraId="753D4092">
            <w:pPr>
              <w:jc w:val="center"/>
              <w:rPr>
                <w:rFonts w:ascii="仿宋_GB2312" w:hAnsi="仿宋_GB2312" w:eastAsia="仿宋_GB2312" w:cs="仿宋_GB2312"/>
                <w:szCs w:val="21"/>
              </w:rPr>
            </w:pPr>
            <w:r>
              <w:rPr>
                <w:rFonts w:ascii="仿宋_GB2312" w:hAnsi="仿宋_GB2312" w:eastAsia="仿宋_GB2312" w:cs="仿宋_GB2312"/>
                <w:szCs w:val="21"/>
              </w:rPr>
              <w:t>20</w:t>
            </w:r>
          </w:p>
        </w:tc>
      </w:tr>
      <w:tr w14:paraId="19D8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28B7DEF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30F1621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374C638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0892BF62">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00C4D2D2">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14:paraId="01B4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E3F27FE">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6" w:type="pct"/>
            <w:gridSpan w:val="2"/>
            <w:vAlign w:val="center"/>
          </w:tcPr>
          <w:p w14:paraId="77EE07F6">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7DB6F1F1">
      <w:pPr>
        <w:jc w:val="left"/>
        <w:rPr>
          <w:rFonts w:ascii="黑体" w:hAnsi="黑体" w:eastAsia="黑体" w:cs="仿宋_GB2312"/>
          <w:bCs/>
          <w:sz w:val="32"/>
          <w:szCs w:val="32"/>
        </w:rPr>
      </w:pPr>
    </w:p>
    <w:p w14:paraId="285AEB0C">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58784707">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186A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1949BF52">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14:paraId="3D3D7638">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79ED1C7B">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0431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9F9087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14:paraId="71C7811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0DAF6B54">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1DB53CA0">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4CE38810">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4FE7A1A8">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14:paraId="313B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519FF0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14:paraId="51C052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14:paraId="5A2E3E8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14:paraId="31589F8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14:paraId="2FECF9E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65C4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7C1562B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14:paraId="5B79E9A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14:paraId="6F05118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14:paraId="307DE61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14:paraId="68F10B5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14:paraId="024D2D0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4ACD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01C139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14:paraId="4028889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14:paraId="6E0C983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2.在服务科技创新、乡村振兴、城市社区治理、城乡融合发展等方面有较好产品或服务模式，追求经济效益和社会效益的平衡。</w:t>
            </w:r>
          </w:p>
          <w:p w14:paraId="743858E2">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3.项目通过商业方式推动科技创新、乡村振兴、城市社区治理、城乡融合发展等方面的贡献度。</w:t>
            </w:r>
          </w:p>
          <w:p w14:paraId="30B6CD5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14:paraId="6FEF4F99">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14:paraId="13E6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14:paraId="13FBD5D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14:paraId="3F46A86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14B7BD2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67E0686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2712B640">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14:paraId="47C2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DAAA6F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14:paraId="66D30061">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14:paraId="0A39E718"/>
    <w:p w14:paraId="06EF99CC">
      <w:pPr>
        <w:sectPr>
          <w:pgSz w:w="16838" w:h="11906" w:orient="landscape"/>
          <w:pgMar w:top="1021" w:right="1134" w:bottom="1021" w:left="1134" w:header="851" w:footer="851" w:gutter="0"/>
          <w:cols w:space="425" w:num="1"/>
          <w:docGrid w:type="linesAndChars" w:linePitch="435" w:charSpace="0"/>
        </w:sectPr>
      </w:pPr>
    </w:p>
    <w:p w14:paraId="79945E7E">
      <w:pPr>
        <w:jc w:val="left"/>
        <w:rPr>
          <w:rFonts w:ascii="黑体" w:hAnsi="黑体" w:eastAsia="黑体" w:cs="仿宋_GB2312"/>
          <w:bCs/>
          <w:sz w:val="32"/>
          <w:szCs w:val="32"/>
        </w:rPr>
      </w:pPr>
      <w:r>
        <w:rPr>
          <w:rFonts w:hint="eastAsia" w:ascii="黑体" w:hAnsi="黑体" w:eastAsia="黑体" w:cs="仿宋_GB2312"/>
          <w:bCs/>
          <w:sz w:val="32"/>
          <w:szCs w:val="32"/>
        </w:rPr>
        <w:t>六、职教赛道项目评审要点：创意组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F49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484" w:type="pct"/>
            <w:vAlign w:val="center"/>
          </w:tcPr>
          <w:p w14:paraId="4BF9EDC0">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14:paraId="4E22C0D5">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264C7C4E">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40D0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205044D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14:paraId="426E4D9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CA27C82">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2.项目符合将专业知识与商业知识有效结合并转化为商业价值或社会价值的创新创业基本过程和基本逻辑，展现创新教育对</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基本素养</w:t>
            </w:r>
            <w:r>
              <w:rPr>
                <w:rFonts w:hint="eastAsia" w:ascii="仿宋_GB2312" w:hAnsi="仿宋_GB2312" w:eastAsia="仿宋_GB2312" w:cs="仿宋_GB2312"/>
                <w:sz w:val="24"/>
                <w:szCs w:val="24"/>
              </w:rPr>
              <w:t>和认知的塑造力。</w:t>
            </w:r>
          </w:p>
          <w:p w14:paraId="208F4FFC">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3.体现团队对创新创业所需知识（专业知识、商业知识、行业知识等）与技能（计划、组织、领导、控制、创新等）的娴熟掌握与应用，展现创新教育提升</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综合能力的效力。</w:t>
            </w:r>
          </w:p>
          <w:p w14:paraId="34FC3856">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；体现项目成长对团队成员创新精神、创新意识、创新能力的锻炼和提升作</w:t>
            </w:r>
            <w:r>
              <w:rPr>
                <w:rFonts w:hint="eastAsia" w:ascii="仿宋_GB2312" w:hAnsi="仿宋_GB2312" w:eastAsia="仿宋_GB2312" w:cs="仿宋_GB2312"/>
                <w:sz w:val="24"/>
                <w:szCs w:val="24"/>
              </w:rPr>
              <w:t>用。</w:t>
            </w:r>
          </w:p>
          <w:p w14:paraId="4B0A0126">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59DAFAB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70D9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CDBB71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14:paraId="340B2FB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14:paraId="2C31605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14:paraId="7D497E3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14:paraId="077BB59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14:paraId="2FF1F88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3953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5E73379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14:paraId="0528C07A">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14:paraId="076CBE46">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14:paraId="71CC2E83">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14:paraId="33FE9D6D">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tc>
        <w:tc>
          <w:tcPr>
            <w:tcW w:w="329" w:type="pct"/>
            <w:vAlign w:val="center"/>
          </w:tcPr>
          <w:p w14:paraId="49EA372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5D86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434884A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14:paraId="50168257">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14:paraId="0A9324DE">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清晰的了解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14:paraId="49FA0348">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其他：项目落地执行情况；项目促进区域经济发展、产业转型升级的情况；已有盈利能力或盈利潜力情况。</w:t>
            </w:r>
          </w:p>
        </w:tc>
        <w:tc>
          <w:tcPr>
            <w:tcW w:w="329" w:type="pct"/>
            <w:vAlign w:val="center"/>
          </w:tcPr>
          <w:p w14:paraId="175CC88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4AD8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ABB804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14:paraId="2635CF4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14:paraId="795DD7A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14:paraId="2027A52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14:paraId="2BF7572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3CD8E1F6">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1255ED71">
      <w:pPr>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14:paraId="7996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0582CFE9">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14:paraId="066ED88B">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14:paraId="6575F721">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27EF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3" w:hRule="atLeast"/>
        </w:trPr>
        <w:tc>
          <w:tcPr>
            <w:tcW w:w="484" w:type="pct"/>
            <w:vAlign w:val="center"/>
          </w:tcPr>
          <w:p w14:paraId="20C78D4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14:paraId="2283CB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35271250">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2.项目符合将专业知识与商业知识有效结合并转化为商业价值或社会价值的创新创业基本过程和基本逻辑，展现创新教育对</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基本素养和认知的塑造力。</w:t>
            </w:r>
          </w:p>
          <w:p w14:paraId="36F65D75">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3.体现团队对创新创业所需知识（专业知识、商业知识、行业知识等）与技能（计划、组织、领导、控制、创新等）的娴熟掌握与应用，展现创新教育提升</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综合能力的效力。</w:t>
            </w:r>
          </w:p>
          <w:p w14:paraId="246C158A">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；体现项目成长对团队成员创新精神、创新意识、创新能力的锻炼和提升作</w:t>
            </w:r>
            <w:r>
              <w:rPr>
                <w:rFonts w:hint="eastAsia" w:ascii="仿宋_GB2312" w:hAnsi="仿宋_GB2312" w:eastAsia="仿宋_GB2312" w:cs="仿宋_GB2312"/>
                <w:sz w:val="24"/>
                <w:szCs w:val="24"/>
              </w:rPr>
              <w:t>用。</w:t>
            </w:r>
          </w:p>
          <w:p w14:paraId="61832646">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7F602EC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55FC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484" w:type="pct"/>
            <w:vAlign w:val="center"/>
          </w:tcPr>
          <w:p w14:paraId="27986C0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vAlign w:val="center"/>
          </w:tcPr>
          <w:p w14:paraId="6FDCF665">
            <w:pPr>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14:paraId="0AE562B4">
            <w:pPr>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14:paraId="1D0836FC">
            <w:pPr>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14:paraId="1D759912">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14:paraId="437E0E6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39E2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760130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14:paraId="79EF52F0">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14:paraId="6D4DAAC2">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14:paraId="579CD221">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14:paraId="0BC7B5D0">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14:paraId="0796A91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5D41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03F493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14:paraId="06E98793">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14:paraId="4802C0C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14:paraId="2CAAA33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14:paraId="2943E6F8">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14:paraId="2D009335">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14:paraId="0A1C2D4D">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.项目促进区域经济发展、产业转型升级的情况。</w:t>
            </w:r>
          </w:p>
        </w:tc>
        <w:tc>
          <w:tcPr>
            <w:tcW w:w="328" w:type="pct"/>
            <w:vAlign w:val="center"/>
          </w:tcPr>
          <w:p w14:paraId="76029CA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14:paraId="55A9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54993C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14:paraId="42B763FB">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14:paraId="1083657C">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14:paraId="1BD8FC99">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14:paraId="6E5F360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14:paraId="5D05A3AE">
      <w:pPr>
        <w:jc w:val="left"/>
        <w:rPr>
          <w:rStyle w:val="15"/>
          <w:rFonts w:ascii="方正小标宋简体" w:hAnsi="黑体" w:eastAsia="方正小标宋简体" w:cs="黑体"/>
          <w:b w:val="0"/>
          <w:sz w:val="18"/>
          <w:szCs w:val="18"/>
        </w:rPr>
      </w:pPr>
    </w:p>
    <w:p w14:paraId="17CEF627">
      <w:pPr>
        <w:jc w:val="left"/>
        <w:rPr>
          <w:rStyle w:val="15"/>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14:paraId="107AE902">
      <w:pPr>
        <w:jc w:val="left"/>
        <w:rPr>
          <w:rFonts w:ascii="黑体" w:eastAsia="黑体" w:cs="仿宋_GB2312"/>
          <w:sz w:val="32"/>
          <w:szCs w:val="32"/>
        </w:rPr>
      </w:pPr>
      <w:r>
        <w:rPr>
          <w:rFonts w:hint="eastAsia" w:ascii="黑体" w:eastAsia="黑体" w:cs="仿宋_GB2312"/>
          <w:sz w:val="32"/>
          <w:szCs w:val="32"/>
        </w:rPr>
        <w:t>八、产业命题赛道项目评审要点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2287"/>
        <w:gridCol w:w="1012"/>
      </w:tblGrid>
      <w:tr w14:paraId="02D6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503" w:type="pct"/>
            <w:vAlign w:val="center"/>
          </w:tcPr>
          <w:p w14:paraId="5649AD12">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5" w:type="pct"/>
            <w:vAlign w:val="center"/>
          </w:tcPr>
          <w:p w14:paraId="63815FFB">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14:paraId="754C1538">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1A83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trPr>
        <w:tc>
          <w:tcPr>
            <w:tcW w:w="503" w:type="pct"/>
            <w:vAlign w:val="center"/>
          </w:tcPr>
          <w:p w14:paraId="0C646FF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5" w:type="pct"/>
            <w:vAlign w:val="center"/>
          </w:tcPr>
          <w:p w14:paraId="0428673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14:paraId="1D0BBB6E">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622201C">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14:paraId="4636D17A">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14:paraId="400F0019">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14:paraId="4D1F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503" w:type="pct"/>
            <w:vAlign w:val="center"/>
          </w:tcPr>
          <w:p w14:paraId="3CFBEAE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5" w:type="pct"/>
            <w:vAlign w:val="center"/>
          </w:tcPr>
          <w:p w14:paraId="3B55EA80">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14:paraId="6A11FBF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14:paraId="276F1A7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14:paraId="6C567DA6">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139C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6641D95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5" w:type="pct"/>
            <w:vAlign w:val="center"/>
          </w:tcPr>
          <w:p w14:paraId="4637AF2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14:paraId="6147C2A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14:paraId="1903B68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14:paraId="073C9DBB">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14:paraId="3B7BB35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770B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4726950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5" w:type="pct"/>
          </w:tcPr>
          <w:p w14:paraId="4DD4EB81">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14:paraId="7C5B998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14:paraId="190291C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14:paraId="129EF435">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14:paraId="2A4D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079E77D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5" w:type="pct"/>
            <w:vAlign w:val="center"/>
          </w:tcPr>
          <w:p w14:paraId="0CDBDBF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14:paraId="6991AF26">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14:paraId="41ED3A4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14:paraId="44E1ECFE">
            <w:pPr>
              <w:jc w:val="center"/>
              <w:rPr>
                <w:rFonts w:ascii="仿宋_GB2312" w:hAnsi="仿宋_GB2312" w:eastAsia="仿宋_GB2312" w:cs="仿宋_GB2312"/>
                <w:sz w:val="24"/>
                <w:szCs w:val="24"/>
              </w:rPr>
            </w:pPr>
            <w:r>
              <w:rPr>
                <w:rFonts w:hint="eastAsia" w:ascii="仿宋_GB2312" w:hAnsi="仿宋_GB2312" w:eastAsia="仿宋_GB2312" w:cs="仿宋_GB2312"/>
                <w:bCs/>
                <w:sz w:val="24"/>
                <w:szCs w:val="24"/>
              </w:rPr>
              <w:t>10</w:t>
            </w:r>
          </w:p>
        </w:tc>
      </w:tr>
    </w:tbl>
    <w:p w14:paraId="4ADB4613">
      <w:pPr>
        <w:jc w:val="left"/>
        <w:rPr>
          <w:rFonts w:ascii="黑体"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F476AF9">
      <w:pPr>
        <w:jc w:val="left"/>
        <w:rPr>
          <w:rStyle w:val="15"/>
          <w:rFonts w:ascii="方正小标宋简体" w:hAnsi="黑体" w:eastAsia="方正小标宋简体" w:cs="黑体"/>
          <w:b w:val="0"/>
          <w:bCs w:val="0"/>
          <w:sz w:val="36"/>
          <w:szCs w:val="36"/>
        </w:rPr>
      </w:pPr>
      <w:r>
        <w:rPr>
          <w:rFonts w:hint="eastAsia" w:ascii="黑体" w:eastAsia="黑体" w:cs="仿宋_GB2312"/>
          <w:sz w:val="32"/>
          <w:szCs w:val="32"/>
        </w:rPr>
        <w:t>九、萌芽赛道项目评审要点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14:paraId="7A9A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14:paraId="01DFB3CB">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14:paraId="7E012458">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14:paraId="0CDC4D9E">
            <w:pPr>
              <w:jc w:val="center"/>
              <w:rPr>
                <w:rFonts w:ascii="黑体" w:hAnsi="黑体" w:eastAsia="黑体" w:cs="仿宋_GB2312"/>
                <w:sz w:val="24"/>
                <w:szCs w:val="24"/>
              </w:rPr>
            </w:pPr>
            <w:r>
              <w:rPr>
                <w:rFonts w:hint="eastAsia" w:ascii="黑体" w:hAnsi="黑体" w:eastAsia="黑体" w:cs="仿宋_GB2312"/>
                <w:sz w:val="24"/>
                <w:szCs w:val="24"/>
              </w:rPr>
              <w:t>分值</w:t>
            </w:r>
          </w:p>
        </w:tc>
      </w:tr>
      <w:tr w14:paraId="1BE6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14:paraId="100925F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4186" w:type="pct"/>
            <w:vAlign w:val="center"/>
          </w:tcPr>
          <w:p w14:paraId="4A01669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1.项目的想象力和创造力，就发现的问题和解决途径进行创意设计，创意设计过程符合客观规律。</w:t>
            </w:r>
          </w:p>
          <w:p w14:paraId="32C9991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2.科技创意证据充分，有足够的科学研究参与度（调查、实验、制作、验证等）。</w:t>
            </w:r>
          </w:p>
          <w:p w14:paraId="7B036A0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3.文化创意逻辑清晰、完整，调研和分析数据充分。</w:t>
            </w:r>
          </w:p>
        </w:tc>
        <w:tc>
          <w:tcPr>
            <w:tcW w:w="329" w:type="pct"/>
            <w:vAlign w:val="center"/>
          </w:tcPr>
          <w:p w14:paraId="4D06E0B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14:paraId="385F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14:paraId="153993D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4186" w:type="pct"/>
            <w:vAlign w:val="center"/>
          </w:tcPr>
          <w:p w14:paraId="4F96ABA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1.团队成员的创新精神和创新意识与能力。</w:t>
            </w:r>
          </w:p>
          <w:p w14:paraId="6244FC9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2.项目团队成员的教育背景、基本素质、价值观念、知识结构、擅长领域。</w:t>
            </w:r>
          </w:p>
          <w:p w14:paraId="5CE9A87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3.团队构成和分工协作合理。</w:t>
            </w:r>
          </w:p>
        </w:tc>
        <w:tc>
          <w:tcPr>
            <w:tcW w:w="329" w:type="pct"/>
            <w:vAlign w:val="center"/>
          </w:tcPr>
          <w:p w14:paraId="0AF01B9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4970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14:paraId="77B4C3D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实践性</w:t>
            </w:r>
          </w:p>
        </w:tc>
        <w:tc>
          <w:tcPr>
            <w:tcW w:w="4186" w:type="pct"/>
            <w:vAlign w:val="center"/>
          </w:tcPr>
          <w:p w14:paraId="6CC9764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1.项目的可行性、应用性和完整性。</w:t>
            </w:r>
          </w:p>
          <w:p w14:paraId="07CC638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2.项目具备可执行的计划或实践方案。</w:t>
            </w:r>
          </w:p>
          <w:p w14:paraId="4713201D">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3.项目具有可预见价值，能够让未来的生活更美好。</w:t>
            </w:r>
          </w:p>
        </w:tc>
        <w:tc>
          <w:tcPr>
            <w:tcW w:w="329" w:type="pct"/>
            <w:vAlign w:val="center"/>
          </w:tcPr>
          <w:p w14:paraId="43C3CBD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39B4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14:paraId="78979DC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自主性</w:t>
            </w:r>
          </w:p>
        </w:tc>
        <w:tc>
          <w:tcPr>
            <w:tcW w:w="4186" w:type="pct"/>
            <w:vAlign w:val="center"/>
          </w:tcPr>
          <w:p w14:paraId="6B8C15D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1.项目符合团队成员年龄段的知识结构和实施项目能力。</w:t>
            </w:r>
          </w:p>
          <w:p w14:paraId="782E7E0B">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2.项目选题、创意模式构建主要由学生提出和完成。</w:t>
            </w:r>
          </w:p>
          <w:p w14:paraId="2AA65AF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3.团队成员能够准确表述项目内容及原理，真实可信。</w:t>
            </w:r>
          </w:p>
          <w:p w14:paraId="4AFC900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4.涉及科技成果和专利发明的，需提供证明材料或授权证明材料。</w:t>
            </w:r>
          </w:p>
        </w:tc>
        <w:tc>
          <w:tcPr>
            <w:tcW w:w="329" w:type="pct"/>
            <w:vAlign w:val="center"/>
          </w:tcPr>
          <w:p w14:paraId="562DE4E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14:paraId="729BE9D1">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FC45A2A">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91A"/>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01F19"/>
    <w:rsid w:val="00611B34"/>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00BD"/>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6930E1"/>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9B117F5"/>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DE12C05"/>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743959"/>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Normal.dotm</Template>
  <Company>scut</Company>
  <Pages>17</Pages>
  <Words>2356</Words>
  <Characters>2409</Characters>
  <Lines>66</Lines>
  <Paragraphs>18</Paragraphs>
  <TotalTime>106</TotalTime>
  <ScaleCrop>false</ScaleCrop>
  <LinksUpToDate>false</LinksUpToDate>
  <CharactersWithSpaces>2409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神迹</cp:lastModifiedBy>
  <cp:lastPrinted>2023-06-28T02:53:00Z</cp:lastPrinted>
  <dcterms:modified xsi:type="dcterms:W3CDTF">2025-02-28T01:12:23Z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2DC64FA101074F4E8A82EE8A76EC9F08_13</vt:lpwstr>
  </property>
</Properties>
</file>